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THERMAL EXPANSION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As with all composite decks,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profilles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and its accessories made with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material will expand and contract with changes in temperature. The following table illustrates this effect over different temperature changes. The temperature change listed relates to the temperature of the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material, not the air temperature. In strong sunshine, darker coloured boards will reach higher temperatures than lighter coloured boards.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222127"/>
          <w:sz w:val="20"/>
          <w:szCs w:val="20"/>
          <w:lang w:val="en-AU"/>
        </w:rPr>
      </w:pP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222127"/>
          <w:sz w:val="20"/>
          <w:szCs w:val="20"/>
          <w:lang w:val="en-AU"/>
        </w:rPr>
      </w:pPr>
      <w:r w:rsidRPr="00F62A31">
        <w:rPr>
          <w:rFonts w:ascii="Arial" w:hAnsi="Arial" w:cs="Arial"/>
          <w:color w:val="222127"/>
          <w:sz w:val="20"/>
          <w:szCs w:val="20"/>
          <w:lang w:val="en-AU"/>
        </w:rPr>
        <w:t>INDICATIVE CHANGES IN LENGTH AT DIFFERENT TEMPERATURES</w:t>
      </w:r>
    </w:p>
    <w:tbl>
      <w:tblPr>
        <w:tblW w:w="9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252"/>
        <w:gridCol w:w="1253"/>
        <w:gridCol w:w="1253"/>
        <w:gridCol w:w="1253"/>
        <w:gridCol w:w="1274"/>
        <w:gridCol w:w="2422"/>
      </w:tblGrid>
      <w:tr w:rsidR="00F62A31" w:rsidRPr="00F62A31" w:rsidTr="00F62A31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 w:val="restart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 xml:space="preserve">Temp. </w:t>
            </w:r>
            <w:proofErr w:type="gramStart"/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change</w:t>
            </w:r>
            <w:proofErr w:type="gramEnd"/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 xml:space="preserve"> of board</w:t>
            </w:r>
          </w:p>
        </w:tc>
        <w:tc>
          <w:tcPr>
            <w:tcW w:w="8340" w:type="dxa"/>
            <w:gridSpan w:val="6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proofErr w:type="gramStart"/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mm</w:t>
            </w:r>
            <w:proofErr w:type="gramEnd"/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 xml:space="preserve"> expansion / shrinkage</w:t>
            </w:r>
          </w:p>
        </w:tc>
      </w:tr>
      <w:tr w:rsidR="00F62A31" w:rsidRPr="00F62A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1m board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2 m board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3 m board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4 m board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5 m board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b/>
                <w:bCs/>
                <w:color w:val="363636"/>
                <w:sz w:val="20"/>
                <w:szCs w:val="20"/>
                <w:lang w:val="en-AU"/>
              </w:rPr>
              <w:t>6 m board</w:t>
            </w:r>
          </w:p>
        </w:tc>
      </w:tr>
      <w:tr w:rsidR="00F62A31" w:rsidRPr="00F62A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10ºC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</w:tr>
      <w:tr w:rsidR="00F62A31" w:rsidRPr="00F62A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20ºC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5</w:t>
            </w:r>
          </w:p>
        </w:tc>
      </w:tr>
      <w:tr w:rsidR="00F62A31" w:rsidRPr="00F62A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30ºC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5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6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7</w:t>
            </w:r>
          </w:p>
        </w:tc>
      </w:tr>
      <w:tr w:rsidR="00F62A31" w:rsidRPr="00F62A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40ºC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5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6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10</w:t>
            </w:r>
          </w:p>
        </w:tc>
      </w:tr>
      <w:tr w:rsidR="00F62A31" w:rsidRPr="00F62A31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50ºC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10</w:t>
            </w:r>
          </w:p>
        </w:tc>
        <w:tc>
          <w:tcPr>
            <w:tcW w:w="1220" w:type="dxa"/>
            <w:tcBorders>
              <w:bottom w:val="single" w:sz="8" w:space="0" w:color="CBCDCB"/>
              <w:right w:val="single" w:sz="8" w:space="0" w:color="91929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12</w:t>
            </w:r>
          </w:p>
        </w:tc>
      </w:tr>
    </w:tbl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COLOUR WEATHERING AND MAINTENANCE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222127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Unlike conventional timber decks, </w:t>
      </w:r>
      <w:proofErr w:type="spellStart"/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profile</w:t>
      </w:r>
      <w:r>
        <w:rPr>
          <w:rFonts w:ascii="Arial" w:hAnsi="Arial" w:cs="Arial"/>
          <w:color w:val="363636"/>
          <w:sz w:val="20"/>
          <w:szCs w:val="20"/>
          <w:lang w:val="en-AU"/>
        </w:rPr>
        <w:t>s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is</w:t>
      </w:r>
      <w:proofErr w:type="gram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not suffer from the usual “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complete change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”. Instead, over the years, the colours will fade</w:t>
      </w:r>
      <w:r w:rsidRPr="00F62A31">
        <w:rPr>
          <w:rFonts w:ascii="Arial" w:hAnsi="Arial" w:cs="Arial"/>
          <w:color w:val="222127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slightly. (This weathering may be accelerated in high altitude locations and other areas with</w:t>
      </w:r>
      <w:r w:rsidRPr="00F62A31">
        <w:rPr>
          <w:rFonts w:ascii="Arial" w:hAnsi="Arial" w:cs="Arial"/>
          <w:color w:val="222127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strong UV.)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 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Cleaning with a jet hose or a normal hose and brush will help to maintain the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colour</w:t>
      </w:r>
      <w:proofErr w:type="gram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. Such cleaning should be carried out periodically to ensure that surface is free of dirt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and debris and that the space under the deck remains clear and able to drain water away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effectively.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 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surface is very resistant to moisture absorption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and therefore stains. If cleaned immediately after a spill, water is usually enough to remove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all traces. Otherwise warm </w:t>
      </w:r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water,</w:t>
      </w:r>
      <w:proofErr w:type="gram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a household detergent and gentle brushing will work in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>most cases.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Illustration of typical weathering of a Stone Grey Deck in Central European climate.</w:t>
      </w:r>
      <w:proofErr w:type="gramEnd"/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800"/>
        <w:gridCol w:w="2460"/>
      </w:tblGrid>
      <w:tr w:rsidR="00F62A31" w:rsidRPr="00F62A31" w:rsidTr="00F62A31">
        <w:tblPrEx>
          <w:tblCellMar>
            <w:top w:w="0" w:type="dxa"/>
            <w:bottom w:w="0" w:type="dxa"/>
          </w:tblCellMar>
        </w:tblPrEx>
        <w:tc>
          <w:tcPr>
            <w:tcW w:w="8000" w:type="dxa"/>
            <w:gridSpan w:val="3"/>
            <w:vAlign w:val="center"/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noProof/>
                <w:color w:val="363636"/>
                <w:sz w:val="20"/>
                <w:szCs w:val="20"/>
                <w:lang w:val="en-AU"/>
              </w:rPr>
              <w:drawing>
                <wp:inline distT="0" distB="0" distL="0" distR="0" wp14:anchorId="4CF19270" wp14:editId="6A8BAEEC">
                  <wp:extent cx="333248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31" w:rsidRPr="00F62A31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Initial</w:t>
            </w:r>
          </w:p>
        </w:tc>
        <w:tc>
          <w:tcPr>
            <w:tcW w:w="3800" w:type="dxa"/>
            <w:vAlign w:val="center"/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       1</w:t>
            </w: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 xml:space="preserve"> years</w:t>
            </w:r>
          </w:p>
        </w:tc>
        <w:tc>
          <w:tcPr>
            <w:tcW w:w="2460" w:type="dxa"/>
            <w:vAlign w:val="center"/>
          </w:tcPr>
          <w:p w:rsidR="00F62A31" w:rsidRPr="00F62A31" w:rsidRDefault="00F62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</w:pP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>5</w:t>
            </w:r>
            <w:r w:rsidRPr="00F62A31">
              <w:rPr>
                <w:rFonts w:ascii="Arial" w:hAnsi="Arial" w:cs="Arial"/>
                <w:color w:val="363636"/>
                <w:sz w:val="20"/>
                <w:szCs w:val="20"/>
                <w:lang w:val="en-AU"/>
              </w:rPr>
              <w:t xml:space="preserve"> years</w:t>
            </w:r>
          </w:p>
        </w:tc>
      </w:tr>
    </w:tbl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 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 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ENVIRONMENT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As there is no other significant re-cycling process for the label surplus material, the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Manufacture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of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Deck actually reduces </w:t>
      </w:r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land-fill</w:t>
      </w:r>
      <w:proofErr w:type="gram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and waste incineration. The only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>Added</w:t>
      </w: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plastic is clean polypropylene. Production waste and off-cuts can be recycled into</w:t>
      </w:r>
    </w:p>
    <w:p w:rsidR="00F62A31" w:rsidRPr="00F62A31" w:rsidRDefault="00F62A31" w:rsidP="00F62A31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en-AU"/>
        </w:rPr>
      </w:pPr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new </w:t>
      </w:r>
      <w:proofErr w:type="spell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Arline</w:t>
      </w:r>
      <w:proofErr w:type="spell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Profiles</w:t>
      </w:r>
      <w:bookmarkStart w:id="0" w:name="_GoBack"/>
      <w:bookmarkEnd w:id="0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. The material can also be disposed of with normal household waste</w:t>
      </w:r>
    </w:p>
    <w:p w:rsidR="005E5AA6" w:rsidRPr="00F62A31" w:rsidRDefault="00F62A31" w:rsidP="00F62A31">
      <w:pPr>
        <w:rPr>
          <w:rFonts w:ascii="Arial" w:hAnsi="Arial" w:cs="Arial"/>
          <w:sz w:val="20"/>
          <w:szCs w:val="20"/>
          <w:lang w:val="en-AU"/>
        </w:rPr>
      </w:pPr>
      <w:proofErr w:type="gramStart"/>
      <w:r w:rsidRPr="00F62A31">
        <w:rPr>
          <w:rFonts w:ascii="Arial" w:hAnsi="Arial" w:cs="Arial"/>
          <w:color w:val="363636"/>
          <w:sz w:val="20"/>
          <w:szCs w:val="20"/>
          <w:lang w:val="en-AU"/>
        </w:rPr>
        <w:t>for</w:t>
      </w:r>
      <w:proofErr w:type="gramEnd"/>
      <w:r w:rsidRPr="00F62A31">
        <w:rPr>
          <w:rFonts w:ascii="Arial" w:hAnsi="Arial" w:cs="Arial"/>
          <w:color w:val="363636"/>
          <w:sz w:val="20"/>
          <w:szCs w:val="20"/>
          <w:lang w:val="en-AU"/>
        </w:rPr>
        <w:t xml:space="preserve"> example to be converted into energy.</w:t>
      </w:r>
    </w:p>
    <w:sectPr w:rsidR="005E5AA6" w:rsidRPr="00F62A31" w:rsidSect="005E5A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31"/>
    <w:rsid w:val="005E5AA6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70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Macintosh Word</Application>
  <DocSecurity>0</DocSecurity>
  <Lines>14</Lines>
  <Paragraphs>4</Paragraphs>
  <ScaleCrop>false</ScaleCrop>
  <Company>Arslan Dış Tic Ltd.Şti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Arslan</dc:creator>
  <cp:keywords/>
  <dc:description/>
  <cp:lastModifiedBy>Mustafa Arslan</cp:lastModifiedBy>
  <cp:revision>1</cp:revision>
  <dcterms:created xsi:type="dcterms:W3CDTF">2014-06-12T22:30:00Z</dcterms:created>
  <dcterms:modified xsi:type="dcterms:W3CDTF">2014-06-12T22:40:00Z</dcterms:modified>
</cp:coreProperties>
</file>